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8"/>
      </w:pPr>
      <w:r>
        <w:t>窗体顶端</w:t>
      </w:r>
    </w:p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我区“四举措”推进国土空间规划工作</w:t>
      </w:r>
    </w:p>
    <w:p>
      <w:pPr>
        <w:pStyle w:val="18"/>
      </w:pPr>
      <w:r>
        <w:t>窗体顶端</w:t>
      </w:r>
    </w:p>
    <w:p>
      <w:pPr>
        <w:pStyle w:val="3"/>
        <w:keepNext w:val="0"/>
        <w:keepLines w:val="0"/>
        <w:widowControl/>
        <w:suppressLineNumbers w:val="0"/>
        <w:spacing w:before="526" w:beforeAutospacing="0" w:after="0" w:afterAutospacing="0" w:line="450" w:lineRule="atLeast"/>
        <w:ind w:left="0" w:right="0" w:firstLine="420"/>
        <w:jc w:val="both"/>
        <w:rPr>
          <w:b w:val="0"/>
          <w:bCs w:val="0"/>
        </w:rPr>
      </w:pPr>
      <w:r>
        <w:rPr>
          <w:rFonts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>一是提高政治站位。</w:t>
      </w: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 xml:space="preserve">充分认识国土空间规划工作的极端重要性，要结合区委重大决策部署、未来发展方向，从贯彻落实新发展理念、推动高质量发展等方面着手，进一步理清思路、找准定位、明确方向、科学谋划。 </w:t>
      </w:r>
    </w:p>
    <w:p>
      <w:pPr>
        <w:pStyle w:val="3"/>
        <w:keepNext w:val="0"/>
        <w:keepLines w:val="0"/>
        <w:widowControl/>
        <w:suppressLineNumbers w:val="0"/>
        <w:spacing w:before="526" w:beforeAutospacing="0" w:after="0" w:afterAutospacing="0" w:line="450" w:lineRule="atLeast"/>
        <w:ind w:left="0" w:right="0" w:firstLine="420"/>
        <w:jc w:val="both"/>
        <w:rPr>
          <w:b w:val="0"/>
          <w:bCs w:val="0"/>
        </w:rPr>
      </w:pP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>二是强化系统谋划。</w:t>
      </w: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>要牢固树立“一张图”“一盘棋”思想，把握目标要求，提高国土空间规划工作的精准性。要系统规划城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 xml:space="preserve">镇体系和工业布局，充分考虑人口数量及结构，不断完善城镇基础设施、公共服务、综合防灾等功能，着力提升城镇风貌，打造宜居空间。 </w:t>
      </w:r>
    </w:p>
    <w:p>
      <w:pPr>
        <w:pStyle w:val="3"/>
        <w:keepNext w:val="0"/>
        <w:keepLines w:val="0"/>
        <w:widowControl/>
        <w:suppressLineNumbers w:val="0"/>
        <w:spacing w:before="526" w:beforeAutospacing="0" w:after="0" w:afterAutospacing="0" w:line="450" w:lineRule="atLeast"/>
        <w:ind w:left="0" w:right="0" w:firstLine="420"/>
        <w:jc w:val="both"/>
        <w:rPr>
          <w:b w:val="0"/>
          <w:bCs w:val="0"/>
        </w:rPr>
      </w:pP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>三是把握重点环节。</w:t>
      </w: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 xml:space="preserve">要严守生态安全、国土安全、粮食安全底线，科学划定生态保护红线、永久基本农田保护红线、城镇开发边界“三条控制线”，深入研究规划编制和土地利用相关政策，协调处理各类规划冲突与矛盾，提高规划编制的针对性、科学性和可操作性。 </w:t>
      </w:r>
    </w:p>
    <w:p>
      <w:pPr>
        <w:pStyle w:val="3"/>
        <w:keepNext w:val="0"/>
        <w:keepLines w:val="0"/>
        <w:widowControl/>
        <w:suppressLineNumbers w:val="0"/>
        <w:spacing w:before="526" w:beforeAutospacing="0" w:after="0" w:afterAutospacing="0" w:line="450" w:lineRule="atLeast"/>
        <w:ind w:left="0" w:right="0" w:firstLine="420"/>
        <w:jc w:val="both"/>
        <w:rPr>
          <w:b w:val="0"/>
          <w:bCs w:val="0"/>
        </w:rPr>
      </w:pP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>四是强化协调联动</w:t>
      </w: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shd w:val="clear" w:fill="FFFFFF"/>
        </w:rPr>
        <w:t xml:space="preserve">。成立国土空间规划工作领导小组，制定工作方案，将国土空间规划编制工作纳入全年重点工作安排，并提供了组织、人员、数据、经费等方面的保障。及时研究解决工作重点难点问题，合力推动工作落实，确保编制、申报、审批、宣传等各项工作有序推进。 </w:t>
      </w:r>
    </w:p>
    <w:p>
      <w:pPr>
        <w:pStyle w:val="19"/>
      </w:pPr>
      <w:r>
        <w:t>窗体底端</w:t>
      </w:r>
    </w:p>
    <w:p/>
    <w:p>
      <w:pPr>
        <w:pStyle w:val="19"/>
      </w:pPr>
      <w:r>
        <w:t>窗体底端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5F21B9"/>
    <w:rsid w:val="41255D2B"/>
    <w:rsid w:val="585F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uiPriority w:val="0"/>
    <w:rPr>
      <w:color w:val="800080"/>
      <w:u w:val="none"/>
    </w:rPr>
  </w:style>
  <w:style w:type="character" w:styleId="8">
    <w:name w:val="Emphasis"/>
    <w:basedOn w:val="5"/>
    <w:qFormat/>
    <w:uiPriority w:val="0"/>
    <w:rPr>
      <w:b/>
      <w:bCs/>
    </w:rPr>
  </w:style>
  <w:style w:type="character" w:styleId="9">
    <w:name w:val="HTML Definition"/>
    <w:basedOn w:val="5"/>
    <w:uiPriority w:val="0"/>
  </w:style>
  <w:style w:type="character" w:styleId="10">
    <w:name w:val="HTML Variable"/>
    <w:basedOn w:val="5"/>
    <w:uiPriority w:val="0"/>
  </w:style>
  <w:style w:type="character" w:styleId="11">
    <w:name w:val="Hyperlink"/>
    <w:basedOn w:val="5"/>
    <w:uiPriority w:val="0"/>
    <w:rPr>
      <w:color w:val="0000FF"/>
      <w:u w:val="none"/>
    </w:rPr>
  </w:style>
  <w:style w:type="character" w:styleId="12">
    <w:name w:val="HTML Code"/>
    <w:basedOn w:val="5"/>
    <w:uiPriority w:val="0"/>
    <w:rPr>
      <w:rFonts w:ascii="Courier New" w:hAnsi="Courier New"/>
      <w:sz w:val="20"/>
    </w:rPr>
  </w:style>
  <w:style w:type="character" w:styleId="13">
    <w:name w:val="HTML Cite"/>
    <w:basedOn w:val="5"/>
    <w:uiPriority w:val="0"/>
  </w:style>
  <w:style w:type="character" w:styleId="14">
    <w:name w:val="HTML Keyboard"/>
    <w:basedOn w:val="5"/>
    <w:uiPriority w:val="0"/>
    <w:rPr>
      <w:rFonts w:ascii="Courier New" w:hAnsi="Courier New"/>
      <w:sz w:val="20"/>
    </w:rPr>
  </w:style>
  <w:style w:type="character" w:styleId="15">
    <w:name w:val="HTML Sample"/>
    <w:basedOn w:val="5"/>
    <w:uiPriority w:val="0"/>
    <w:rPr>
      <w:rFonts w:ascii="Courier New" w:hAnsi="Courier New"/>
    </w:rPr>
  </w:style>
  <w:style w:type="character" w:customStyle="1" w:styleId="16">
    <w:name w:val="layui-layer-tabnow"/>
    <w:basedOn w:val="5"/>
    <w:uiPriority w:val="0"/>
    <w:rPr>
      <w:bdr w:val="single" w:color="CCCCCC" w:sz="6" w:space="0"/>
      <w:shd w:val="clear" w:fill="FFFFFF"/>
    </w:rPr>
  </w:style>
  <w:style w:type="character" w:customStyle="1" w:styleId="17">
    <w:name w:val="first-child"/>
    <w:basedOn w:val="5"/>
    <w:uiPriority w:val="0"/>
    <w:rPr>
      <w:bdr w:val="none" w:color="auto" w:sz="0" w:space="0"/>
    </w:rPr>
  </w:style>
  <w:style w:type="paragraph" w:styleId="18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19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2021-04-29T07:30:00Z</dcterms:created>
  <dc:creator>Administrator</dc:creator>
  <cp:lastModifiedBy>Administrator</cp:lastModifiedBy>
  <dcterms:modified xsi:type="dcterms:W3CDTF">2021-04-29T07:31:25Z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F2896F78327A49A898602E32949D5078</vt:lpwstr>
  </property>
</Properties>
</file>